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Red and Blueish Green - mission zones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Black - borders or special terrain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Blue - difficult terrain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Pink - dangerous terrain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Green - soft cover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Orange - hard cover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Number on top of terrain - height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